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4FB" w:rsidRPr="004654FB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  <w:bookmarkStart w:id="0" w:name="_GoBack"/>
      <w:r w:rsidRPr="004654FB">
        <w:rPr>
          <w:rFonts w:ascii="Helvetica" w:eastAsia="Times New Roman" w:hAnsi="Helvetica" w:cs="Helvetica"/>
          <w:b/>
          <w:bCs/>
          <w:color w:val="1D2228"/>
          <w:sz w:val="20"/>
          <w:szCs w:val="20"/>
          <w:u w:val="single"/>
          <w:lang w:eastAsia="es-ES"/>
        </w:rPr>
        <w:t xml:space="preserve">Damm </w:t>
      </w:r>
      <w:r w:rsidR="00A5450F">
        <w:rPr>
          <w:rFonts w:ascii="Helvetica" w:eastAsia="Times New Roman" w:hAnsi="Helvetica" w:cs="Helvetica"/>
          <w:b/>
          <w:bCs/>
          <w:color w:val="1D2228"/>
          <w:sz w:val="20"/>
          <w:szCs w:val="20"/>
          <w:u w:val="single"/>
          <w:lang w:eastAsia="es-ES"/>
        </w:rPr>
        <w:t>en 2.018: G</w:t>
      </w:r>
      <w:r w:rsidRPr="004654FB">
        <w:rPr>
          <w:rFonts w:ascii="Helvetica" w:eastAsia="Times New Roman" w:hAnsi="Helvetica" w:cs="Helvetica"/>
          <w:b/>
          <w:bCs/>
          <w:color w:val="1D2228"/>
          <w:sz w:val="20"/>
          <w:szCs w:val="20"/>
          <w:u w:val="single"/>
          <w:lang w:eastAsia="es-ES"/>
        </w:rPr>
        <w:t xml:space="preserve">ana 113 millones y consolidará cuentas en </w:t>
      </w:r>
      <w:proofErr w:type="spellStart"/>
      <w:r w:rsidRPr="004654FB">
        <w:rPr>
          <w:rFonts w:ascii="Helvetica" w:eastAsia="Times New Roman" w:hAnsi="Helvetica" w:cs="Helvetica"/>
          <w:b/>
          <w:bCs/>
          <w:color w:val="1D2228"/>
          <w:sz w:val="20"/>
          <w:szCs w:val="20"/>
          <w:u w:val="single"/>
          <w:lang w:eastAsia="es-ES"/>
        </w:rPr>
        <w:t>Disa</w:t>
      </w:r>
      <w:proofErr w:type="spellEnd"/>
    </w:p>
    <w:p w:rsidR="004654FB" w:rsidRPr="004654FB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</w:p>
    <w:p w:rsidR="004654FB" w:rsidRPr="004654FB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</w:pPr>
      <w:r w:rsidRPr="004654FB"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 xml:space="preserve">Resultados </w:t>
      </w:r>
      <w:r w:rsidR="000C5366"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 xml:space="preserve">y Actividad en </w:t>
      </w:r>
      <w:r w:rsidRPr="004654FB"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>Ejercicio 2.018</w:t>
      </w:r>
      <w:r w:rsidR="0055499E"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>: Ingresos 1.264,4 M€</w:t>
      </w:r>
    </w:p>
    <w:p w:rsidR="004654FB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Damm ha cerrado 2018 con una facturación consolidada de 1.264,4 millones de euros, lo que supone un crecimiento del 8,7% respecto al año anterior. A pesar de que la climatología fue desfavorable al inicio de la temporada de verano, Damm ha incrementado ventas en todos los canales y mercados y ha impulsado de forma significativa su presencia internacional. La compañía ya está presente en cien países y cuenta con 250 trabajadores dedicados a la actividad de exportación.</w:t>
      </w:r>
      <w:r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</w:t>
      </w:r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Estados Unidos, Reino Unido, Australia, China, Suecia o Canadá son algunos de sus principales mercados en el exterior. </w:t>
      </w:r>
    </w:p>
    <w:p w:rsidR="004654FB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</w:p>
    <w:p w:rsidR="0055499E" w:rsidRPr="0055499E" w:rsidRDefault="0055499E" w:rsidP="004654FB">
      <w:pPr>
        <w:shd w:val="clear" w:color="auto" w:fill="FFFFFF"/>
        <w:jc w:val="left"/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</w:pPr>
      <w:r w:rsidRPr="0055499E"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>Generación de Recursos</w:t>
      </w:r>
      <w:r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>: Ebitda 202,4 M€, Beneficio Neto 112,8 M€</w:t>
      </w:r>
    </w:p>
    <w:p w:rsidR="004654FB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El ebitda del grupo cayó un 7,4% en 2018, hasta 202,4 millones, tras reducirse un 13% el resultado de explotación por el alza de los costes de producción y el incremento de los gastos de personal -el grupo ha creado 562 empleos- y gastos generales por el elevado esfuerzo que realiza la compañía en promoción,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márketing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y patrocinio. </w:t>
      </w:r>
    </w:p>
    <w:p w:rsidR="00093691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El beneficio neto atribuido, sin embargo, se ha mantenido estable, con unas ganancias de 112,8 millones, un 0,3% más. El 80% del beneficio individual se destinó al pago de dividendos, con un reparto de 60,97 millones. </w:t>
      </w:r>
    </w:p>
    <w:p w:rsidR="002A2DCA" w:rsidRDefault="00093691" w:rsidP="00093691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Las inversiones superaron lo</w:t>
      </w:r>
      <w:r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s</w:t>
      </w:r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cien millones y se crearon 562 empleos.</w:t>
      </w:r>
    </w:p>
    <w:p w:rsidR="002A2DCA" w:rsidRPr="004654FB" w:rsidRDefault="000C5366" w:rsidP="002A2DCA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  <w:r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Damm invirtió más de 100 M€ en 2.018, para </w:t>
      </w:r>
      <w:r w:rsidR="002A2DCA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ampliar la capacidad de producción hasta los 25 millones de hectolitros. El grupo refinanció su endeudamiento bancario a largo plazo al cancelar un crédito sindicado y firmar nuevos préstamos bilaterales. Al cierre de 2018, la deuda financiera neta -descontando una caja de 192 millones- se situaba en 219 millones, un 133% más. Este incremento es consecuencia de que la caja se redujo en cien millones. En 2018, Da</w:t>
      </w:r>
      <w:r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mm</w:t>
      </w:r>
      <w:r w:rsidR="002A2DCA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compró la cadena Hamburguesa </w:t>
      </w:r>
      <w:proofErr w:type="spellStart"/>
      <w:r w:rsidR="002A2DCA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Nostra</w:t>
      </w:r>
      <w:proofErr w:type="spellEnd"/>
      <w:r w:rsidR="002A2DCA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y elevó del 11,51% al 11,69% su participación en Ebro </w:t>
      </w:r>
      <w:proofErr w:type="spellStart"/>
      <w:r w:rsidR="002A2DCA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Foods</w:t>
      </w:r>
      <w:proofErr w:type="spellEnd"/>
      <w:r w:rsidR="002A2DCA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.</w:t>
      </w:r>
    </w:p>
    <w:p w:rsidR="004654FB" w:rsidRPr="004654FB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 </w:t>
      </w:r>
    </w:p>
    <w:p w:rsidR="004654FB" w:rsidRPr="004654FB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</w:pPr>
      <w:r w:rsidRPr="004654FB"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>Consolidación de cuentas en DISA</w:t>
      </w:r>
    </w:p>
    <w:p w:rsidR="0055499E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A partir de este año, el grupo cervecero catalán consolidará sus cuentas dentro de la compañía petrolífera canaria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Disa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Corporación, que es su principal accionista. Aunque la empresa de gasolineras y distribución de carburantes es desde hace décadas el socio de referencia de Damm, con una participación que ahora asciende al 33,04%, reflejaba la contabilidad de la cervecera por puesta en equivalencia. Ahora, sin embargo, Damm se integrará por el método de integración global en la contabilidad de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Disa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, que alcanzará unos ingresos superiores a los 3.600 millones de euros. El cambio contable es consecuencia de que desde finales del pasado año el consejo de administración de Damm tiene un consejero menos -ha pasado de nueve a ocho tras la salida de Pau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Furriol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-, lo que ha comportado que "el principal accionista de la sociedad,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Disa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Corporación Petrolífera, tenga la capacidad de ejercer control efectivo", según explica el grupo en las cuentas anuales de 2018, que aprobará en la junta del 25 de junio. </w:t>
      </w:r>
    </w:p>
    <w:p w:rsidR="0055499E" w:rsidRDefault="0055499E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</w:p>
    <w:p w:rsidR="000C5366" w:rsidRPr="0055499E" w:rsidRDefault="0055499E" w:rsidP="004654FB">
      <w:pPr>
        <w:shd w:val="clear" w:color="auto" w:fill="FFFFFF"/>
        <w:jc w:val="left"/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</w:pPr>
      <w:r w:rsidRPr="0055499E"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>Consejo de Administración</w:t>
      </w:r>
      <w:r w:rsidR="00A5450F"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 xml:space="preserve"> Damm</w:t>
      </w:r>
    </w:p>
    <w:p w:rsidR="004654FB" w:rsidRPr="004654FB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Damm tenía tradicionalmente nueve consejeros: tres en representación de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Disa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(Demetrio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Carceller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, presidente; José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Carceller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y Raimundo Baroja); tres en representación de tres familias históricas que mantienen participaciones minoritarias (Ramón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Agenjo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, Ramón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Armadás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y Pau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Furriol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); dos consejeros del grupo de alimentación alemán Dr.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Oetker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(dueño del 25,02% de Damm), y un consejero más de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Seegrund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, una sociedad de cartera propiedad de la familia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Carceller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y representada por María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Carceller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, consejera delegada de Rodilla. En el último año,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Seegrund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ha elevado su peso en Damm con un 0,54% adicional, hasta el 14,49%, por lo que la familia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Carceller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y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Disa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-grupo cuyo accionariado también controlan- suman el 47,53% de la cervecera. Hay que tener en cuenta, además, que la compañía catalana tiene en autocartera el 5,94% de su capital.</w:t>
      </w:r>
    </w:p>
    <w:p w:rsidR="004654FB" w:rsidRPr="004654FB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</w:p>
    <w:p w:rsidR="000C5366" w:rsidRPr="000C5366" w:rsidRDefault="00A5450F" w:rsidP="004654FB">
      <w:pPr>
        <w:shd w:val="clear" w:color="auto" w:fill="FFFFFF"/>
        <w:jc w:val="left"/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</w:pPr>
      <w:r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 xml:space="preserve">Damm: </w:t>
      </w:r>
      <w:r w:rsidR="000C5366" w:rsidRPr="000C5366"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>Empresa autónoma</w:t>
      </w:r>
    </w:p>
    <w:p w:rsidR="004654FB" w:rsidRPr="004654FB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Fuentes de Damm señalaron ayer que integrarse en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Disa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"es una cuestión puramente legal y contable", que no responde a ningún cambio accionarial y que no tendrá "ningún impacto" en la compañía, "que mantendrá su funcionamiento autónomo" y su sede social en Barcelona. </w:t>
      </w:r>
    </w:p>
    <w:p w:rsidR="004654FB" w:rsidRPr="004654FB" w:rsidRDefault="004654FB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</w:p>
    <w:p w:rsidR="002A2DCA" w:rsidRDefault="000C5366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  <w:proofErr w:type="spellStart"/>
      <w:r w:rsidRPr="000C5366"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>Disa</w:t>
      </w:r>
      <w:proofErr w:type="spellEnd"/>
      <w:r w:rsidRPr="000C5366"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 xml:space="preserve"> Corporación Petrolífera</w:t>
      </w:r>
      <w:r w:rsidR="002A2DCA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: </w:t>
      </w:r>
      <w:r w:rsidR="004654FB" w:rsidRPr="004654FB"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 xml:space="preserve">El abanderado de Shell en la </w:t>
      </w:r>
      <w:proofErr w:type="gramStart"/>
      <w:r w:rsidR="004654FB" w:rsidRPr="004654FB">
        <w:rPr>
          <w:rFonts w:ascii="Helvetica" w:eastAsia="Times New Roman" w:hAnsi="Helvetica" w:cs="Helvetica"/>
          <w:b/>
          <w:color w:val="1D2228"/>
          <w:sz w:val="20"/>
          <w:szCs w:val="20"/>
          <w:lang w:eastAsia="es-ES"/>
        </w:rPr>
        <w:t>Península</w:t>
      </w:r>
      <w:r w:rsidR="002A2DCA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.</w:t>
      </w:r>
      <w:proofErr w:type="gramEnd"/>
    </w:p>
    <w:p w:rsidR="0055499E" w:rsidRDefault="002A2DCA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  <w:r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lastRenderedPageBreak/>
        <w:t>C</w:t>
      </w:r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on sede en Tenerife, </w:t>
      </w:r>
      <w:proofErr w:type="spellStart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Disa</w:t>
      </w:r>
      <w:proofErr w:type="spellEnd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es la principal empresa de carburantes de Canarias, con una facturación de 2.346 millones en 2017. El grupo es también el mayor operador independiente de estaciones de servicio a nivel nacional, con una red de 588 establecimientos, con las marcas </w:t>
      </w:r>
      <w:proofErr w:type="spellStart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Disa</w:t>
      </w:r>
      <w:proofErr w:type="spellEnd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, en Canarias, y Shell en la Península. La compañía también opera en gases licuados, venta de electricidad, transporte marítimo de carburantes (</w:t>
      </w:r>
      <w:proofErr w:type="spellStart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Petrogas</w:t>
      </w:r>
      <w:proofErr w:type="spellEnd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) y energías renovables. Aunque la familia </w:t>
      </w:r>
      <w:proofErr w:type="spellStart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Carceller</w:t>
      </w:r>
      <w:proofErr w:type="spellEnd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controla el grupo, en el capital de </w:t>
      </w:r>
      <w:proofErr w:type="spellStart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Disa</w:t>
      </w:r>
      <w:proofErr w:type="spellEnd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 también participan las familias Biosca, </w:t>
      </w:r>
      <w:proofErr w:type="spellStart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Lliso</w:t>
      </w:r>
      <w:proofErr w:type="spellEnd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, Recasens y Figueras-</w:t>
      </w:r>
      <w:proofErr w:type="spellStart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Dotti</w:t>
      </w:r>
      <w:proofErr w:type="spellEnd"/>
      <w:r w:rsidR="004654FB"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.</w:t>
      </w:r>
    </w:p>
    <w:p w:rsidR="0055499E" w:rsidRDefault="0055499E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</w:p>
    <w:p w:rsidR="0055499E" w:rsidRPr="004654FB" w:rsidRDefault="0055499E" w:rsidP="0055499E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  <w:r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Fuentes: Cuentas Anuales 2018. </w:t>
      </w:r>
      <w:r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Expansión, </w:t>
      </w:r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Sergi </w:t>
      </w:r>
      <w:proofErr w:type="spellStart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Saborit</w:t>
      </w:r>
      <w:proofErr w:type="spellEnd"/>
      <w:r w:rsidRPr="004654FB"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. Barcelona</w:t>
      </w:r>
      <w:r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 xml:space="preserve">, 29 </w:t>
      </w:r>
      <w:proofErr w:type="gramStart"/>
      <w:r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  <w:t>Mayo</w:t>
      </w:r>
      <w:proofErr w:type="gramEnd"/>
    </w:p>
    <w:bookmarkEnd w:id="0"/>
    <w:p w:rsidR="002A2DCA" w:rsidRDefault="002A2DCA" w:rsidP="004654FB">
      <w:pPr>
        <w:shd w:val="clear" w:color="auto" w:fill="FFFFFF"/>
        <w:jc w:val="left"/>
        <w:rPr>
          <w:rFonts w:ascii="Helvetica" w:eastAsia="Times New Roman" w:hAnsi="Helvetica" w:cs="Helvetica"/>
          <w:color w:val="1D2228"/>
          <w:sz w:val="20"/>
          <w:szCs w:val="20"/>
          <w:lang w:eastAsia="es-ES"/>
        </w:rPr>
      </w:pPr>
    </w:p>
    <w:sectPr w:rsidR="002A2DCA" w:rsidSect="004654FB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FB"/>
    <w:rsid w:val="00093691"/>
    <w:rsid w:val="000A177B"/>
    <w:rsid w:val="000C5366"/>
    <w:rsid w:val="001505E9"/>
    <w:rsid w:val="002A2DCA"/>
    <w:rsid w:val="00394F57"/>
    <w:rsid w:val="004654FB"/>
    <w:rsid w:val="0055499E"/>
    <w:rsid w:val="005D1305"/>
    <w:rsid w:val="007027B3"/>
    <w:rsid w:val="007B6C29"/>
    <w:rsid w:val="007C76B5"/>
    <w:rsid w:val="00825400"/>
    <w:rsid w:val="00A455FC"/>
    <w:rsid w:val="00A5450F"/>
    <w:rsid w:val="00A65415"/>
    <w:rsid w:val="00AC725B"/>
    <w:rsid w:val="00B62100"/>
    <w:rsid w:val="00B941D9"/>
    <w:rsid w:val="00C40F2A"/>
    <w:rsid w:val="00E0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EE54"/>
  <w15:chartTrackingRefBased/>
  <w15:docId w15:val="{837E5A59-8D6B-4316-9186-F882B95C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F2A"/>
  </w:style>
  <w:style w:type="paragraph" w:styleId="Ttulo1">
    <w:name w:val="heading 1"/>
    <w:basedOn w:val="Normal"/>
    <w:next w:val="Normal"/>
    <w:link w:val="Ttulo1Car"/>
    <w:uiPriority w:val="9"/>
    <w:qFormat/>
    <w:rsid w:val="00C40F2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40F2A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40F2A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40F2A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40F2A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40F2A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40F2A"/>
    <w:pPr>
      <w:keepNext/>
      <w:keepLines/>
      <w:spacing w:before="12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40F2A"/>
    <w:pPr>
      <w:keepNext/>
      <w:keepLines/>
      <w:spacing w:before="12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40F2A"/>
    <w:pPr>
      <w:keepNext/>
      <w:keepLines/>
      <w:spacing w:before="120"/>
      <w:outlineLvl w:val="8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0F2A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40F2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40F2A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40F2A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40F2A"/>
    <w:rPr>
      <w:rFonts w:asciiTheme="majorHAnsi" w:eastAsiaTheme="majorEastAsia" w:hAnsiTheme="majorHAnsi" w:cstheme="majorBidi"/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40F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40F2A"/>
    <w:rPr>
      <w:i/>
      <w:iCs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40F2A"/>
    <w:rPr>
      <w:b/>
      <w:bCs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40F2A"/>
    <w:rPr>
      <w:i/>
      <w:iCs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40F2A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C40F2A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C40F2A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tulo">
    <w:name w:val="Subtitle"/>
    <w:basedOn w:val="Normal"/>
    <w:next w:val="Normal"/>
    <w:link w:val="SubttuloCar"/>
    <w:uiPriority w:val="11"/>
    <w:qFormat/>
    <w:rsid w:val="00C40F2A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C40F2A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40F2A"/>
    <w:rPr>
      <w:b/>
      <w:bCs/>
      <w:color w:val="auto"/>
    </w:rPr>
  </w:style>
  <w:style w:type="character" w:styleId="nfasis">
    <w:name w:val="Emphasis"/>
    <w:basedOn w:val="Fuentedeprrafopredeter"/>
    <w:uiPriority w:val="20"/>
    <w:qFormat/>
    <w:rsid w:val="00C40F2A"/>
    <w:rPr>
      <w:i/>
      <w:iCs/>
      <w:color w:val="auto"/>
    </w:rPr>
  </w:style>
  <w:style w:type="paragraph" w:styleId="Sinespaciado">
    <w:name w:val="No Spacing"/>
    <w:uiPriority w:val="1"/>
    <w:qFormat/>
    <w:rsid w:val="00C40F2A"/>
  </w:style>
  <w:style w:type="paragraph" w:styleId="Cita">
    <w:name w:val="Quote"/>
    <w:basedOn w:val="Normal"/>
    <w:next w:val="Normal"/>
    <w:link w:val="CitaCar"/>
    <w:uiPriority w:val="29"/>
    <w:qFormat/>
    <w:rsid w:val="00C40F2A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40F2A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40F2A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40F2A"/>
    <w:rPr>
      <w:rFonts w:asciiTheme="majorHAnsi" w:eastAsiaTheme="majorEastAsia" w:hAnsiTheme="majorHAnsi" w:cstheme="majorBidi"/>
      <w:sz w:val="26"/>
      <w:szCs w:val="26"/>
    </w:rPr>
  </w:style>
  <w:style w:type="character" w:styleId="nfasissutil">
    <w:name w:val="Subtle Emphasis"/>
    <w:basedOn w:val="Fuentedeprrafopredeter"/>
    <w:uiPriority w:val="19"/>
    <w:qFormat/>
    <w:rsid w:val="00C40F2A"/>
    <w:rPr>
      <w:i/>
      <w:iCs/>
      <w:color w:val="auto"/>
    </w:rPr>
  </w:style>
  <w:style w:type="character" w:styleId="nfasisintenso">
    <w:name w:val="Intense Emphasis"/>
    <w:basedOn w:val="Fuentedeprrafopredeter"/>
    <w:uiPriority w:val="21"/>
    <w:qFormat/>
    <w:rsid w:val="00C40F2A"/>
    <w:rPr>
      <w:b/>
      <w:bCs/>
      <w:i/>
      <w:iCs/>
      <w:color w:val="auto"/>
    </w:rPr>
  </w:style>
  <w:style w:type="character" w:styleId="Referenciasutil">
    <w:name w:val="Subtle Reference"/>
    <w:basedOn w:val="Fuentedeprrafopredeter"/>
    <w:uiPriority w:val="31"/>
    <w:qFormat/>
    <w:rsid w:val="00C40F2A"/>
    <w:rPr>
      <w:smallCaps/>
      <w:color w:val="auto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C40F2A"/>
    <w:rPr>
      <w:b/>
      <w:bCs/>
      <w:smallCaps/>
      <w:color w:val="auto"/>
      <w:u w:val="single"/>
    </w:rPr>
  </w:style>
  <w:style w:type="character" w:styleId="Ttulodellibro">
    <w:name w:val="Book Title"/>
    <w:basedOn w:val="Fuentedeprrafopredeter"/>
    <w:uiPriority w:val="33"/>
    <w:qFormat/>
    <w:rsid w:val="00C40F2A"/>
    <w:rPr>
      <w:b/>
      <w:bCs/>
      <w:smallCaps/>
      <w:color w:val="auto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40F2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758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Fernández de Pinedo</dc:creator>
  <cp:keywords/>
  <dc:description/>
  <cp:lastModifiedBy>Oscar Fernández de Pinedo</cp:lastModifiedBy>
  <cp:revision>1</cp:revision>
  <dcterms:created xsi:type="dcterms:W3CDTF">2019-05-29T17:33:00Z</dcterms:created>
  <dcterms:modified xsi:type="dcterms:W3CDTF">2019-05-29T18:58:00Z</dcterms:modified>
</cp:coreProperties>
</file>